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F1" w:rsidRDefault="002E4B9C">
      <w:pPr>
        <w:pStyle w:val="Standard"/>
        <w:jc w:val="center"/>
      </w:pPr>
      <w:bookmarkStart w:id="0" w:name="_GoBack"/>
      <w:bookmarkEnd w:id="0"/>
      <w:r>
        <w:rPr>
          <w:rFonts w:ascii="標楷體" w:eastAsia="標楷體" w:hAnsi="標楷體" w:cs="新細明體"/>
          <w:sz w:val="32"/>
          <w:szCs w:val="32"/>
        </w:rPr>
        <w:t>產業創新條例緩課所得稅適用辦法修正條文</w:t>
      </w:r>
      <w:r>
        <w:rPr>
          <w:rFonts w:ascii="標楷體" w:eastAsia="標楷體" w:hAnsi="標楷體" w:cs="新細明體"/>
          <w:sz w:val="32"/>
          <w:szCs w:val="32"/>
        </w:rPr>
        <w:t xml:space="preserve">  </w:t>
      </w:r>
    </w:p>
    <w:p w:rsidR="00A119F1" w:rsidRDefault="002E4B9C">
      <w:pPr>
        <w:pStyle w:val="Standard"/>
        <w:tabs>
          <w:tab w:val="left" w:pos="1585"/>
        </w:tabs>
        <w:ind w:left="964" w:hanging="964"/>
      </w:pPr>
      <w:r>
        <w:rPr>
          <w:rFonts w:ascii="標楷體" w:eastAsia="標楷體" w:hAnsi="標楷體"/>
          <w:w w:val="97"/>
          <w:sz w:val="32"/>
          <w:szCs w:val="32"/>
        </w:rPr>
        <w:t>第一條</w:t>
      </w:r>
      <w:r>
        <w:rPr>
          <w:rFonts w:ascii="標楷體" w:eastAsia="標楷體" w:hAnsi="標楷體"/>
          <w:w w:val="97"/>
          <w:sz w:val="32"/>
          <w:szCs w:val="32"/>
        </w:rPr>
        <w:t xml:space="preserve">    </w:t>
      </w:r>
      <w:r>
        <w:rPr>
          <w:rFonts w:ascii="標楷體" w:eastAsia="標楷體" w:hAnsi="標楷體"/>
          <w:w w:val="97"/>
          <w:sz w:val="32"/>
          <w:szCs w:val="32"/>
        </w:rPr>
        <w:t>本辦法依產業創新條例</w:t>
      </w:r>
      <w:r>
        <w:rPr>
          <w:rFonts w:ascii="標楷體" w:eastAsia="標楷體" w:hAnsi="標楷體"/>
          <w:w w:val="97"/>
          <w:sz w:val="32"/>
          <w:szCs w:val="32"/>
        </w:rPr>
        <w:t>(</w:t>
      </w:r>
      <w:r>
        <w:rPr>
          <w:rFonts w:ascii="標楷體" w:eastAsia="標楷體" w:hAnsi="標楷體"/>
          <w:w w:val="97"/>
          <w:sz w:val="32"/>
          <w:szCs w:val="32"/>
        </w:rPr>
        <w:t>以下簡稱本條例</w:t>
      </w:r>
      <w:r>
        <w:rPr>
          <w:rFonts w:ascii="標楷體" w:eastAsia="標楷體" w:hAnsi="標楷體"/>
          <w:w w:val="97"/>
          <w:sz w:val="32"/>
          <w:szCs w:val="32"/>
        </w:rPr>
        <w:t>)</w:t>
      </w:r>
      <w:r>
        <w:rPr>
          <w:rFonts w:ascii="標楷體" w:eastAsia="標楷體" w:hAnsi="標楷體"/>
          <w:w w:val="97"/>
          <w:sz w:val="32"/>
          <w:szCs w:val="32"/>
        </w:rPr>
        <w:t>第十二條之一第八項、第十二條之二第五項及第十九條之一第六項規定訂定之。</w:t>
      </w:r>
    </w:p>
    <w:p w:rsidR="00A119F1" w:rsidRDefault="002E4B9C">
      <w:pPr>
        <w:pStyle w:val="Standard"/>
        <w:ind w:left="960" w:hanging="964"/>
      </w:pPr>
      <w:r>
        <w:rPr>
          <w:rFonts w:ascii="標楷體" w:eastAsia="標楷體" w:hAnsi="標楷體" w:cs="新細明體"/>
          <w:sz w:val="32"/>
          <w:szCs w:val="32"/>
        </w:rPr>
        <w:t xml:space="preserve">第二條　</w:t>
      </w:r>
      <w:r>
        <w:rPr>
          <w:rFonts w:ascii="標楷體" w:eastAsia="標楷體" w:hAnsi="標楷體" w:cs="新細明體"/>
          <w:sz w:val="32"/>
          <w:szCs w:val="32"/>
        </w:rPr>
        <w:t xml:space="preserve">  </w:t>
      </w:r>
      <w:r>
        <w:rPr>
          <w:rFonts w:ascii="標楷體" w:eastAsia="標楷體" w:hAnsi="標楷體" w:cs="新細明體"/>
          <w:sz w:val="32"/>
          <w:szCs w:val="32"/>
        </w:rPr>
        <w:t>本辦法所稱我國個人，指產業創新條例施行細則</w:t>
      </w:r>
      <w:r>
        <w:rPr>
          <w:rFonts w:ascii="標楷體" w:eastAsia="標楷體" w:hAnsi="標楷體" w:cs="新細明體"/>
          <w:sz w:val="32"/>
          <w:szCs w:val="32"/>
        </w:rPr>
        <w:t>(</w:t>
      </w:r>
      <w:r>
        <w:rPr>
          <w:rFonts w:ascii="標楷體" w:eastAsia="標楷體" w:hAnsi="標楷體" w:cs="新細明體"/>
          <w:sz w:val="32"/>
          <w:szCs w:val="32"/>
        </w:rPr>
        <w:t>以下簡稱本條例施行細則</w:t>
      </w:r>
      <w:r>
        <w:rPr>
          <w:rFonts w:ascii="標楷體" w:eastAsia="標楷體" w:hAnsi="標楷體" w:cs="新細明體"/>
          <w:sz w:val="32"/>
          <w:szCs w:val="32"/>
        </w:rPr>
        <w:t>)</w:t>
      </w:r>
      <w:r>
        <w:rPr>
          <w:rFonts w:ascii="標楷體" w:eastAsia="標楷體" w:hAnsi="標楷體" w:cs="新細明體"/>
          <w:sz w:val="32"/>
          <w:szCs w:val="32"/>
        </w:rPr>
        <w:t>第三條之一第一項規定之人。</w:t>
      </w:r>
    </w:p>
    <w:p w:rsidR="00A119F1" w:rsidRDefault="002E4B9C">
      <w:pPr>
        <w:pStyle w:val="Textbody"/>
        <w:ind w:left="960"/>
      </w:pPr>
      <w:r>
        <w:rPr>
          <w:rFonts w:ascii="標楷體" w:eastAsia="標楷體" w:hAnsi="標楷體"/>
          <w:sz w:val="32"/>
          <w:szCs w:val="32"/>
        </w:rPr>
        <w:t xml:space="preserve">　　</w:t>
      </w:r>
      <w:r>
        <w:rPr>
          <w:rFonts w:ascii="標楷體" w:eastAsia="標楷體" w:hAnsi="標楷體"/>
          <w:sz w:val="32"/>
          <w:szCs w:val="32"/>
          <w:lang w:eastAsia="ar-SA"/>
        </w:rPr>
        <w:t>本</w:t>
      </w:r>
      <w:r>
        <w:rPr>
          <w:rFonts w:ascii="標楷體" w:eastAsia="標楷體" w:hAnsi="標楷體"/>
          <w:sz w:val="32"/>
          <w:szCs w:val="32"/>
        </w:rPr>
        <w:t>辦法</w:t>
      </w:r>
      <w:r>
        <w:rPr>
          <w:rFonts w:ascii="標楷體" w:eastAsia="標楷體" w:hAnsi="標楷體"/>
          <w:sz w:val="32"/>
          <w:szCs w:val="32"/>
          <w:lang w:eastAsia="ar-SA"/>
        </w:rPr>
        <w:t>所稱</w:t>
      </w:r>
      <w:r>
        <w:rPr>
          <w:rFonts w:ascii="標楷體" w:eastAsia="標楷體" w:hAnsi="標楷體"/>
          <w:sz w:val="32"/>
          <w:szCs w:val="32"/>
        </w:rPr>
        <w:t>自行研發所有之</w:t>
      </w:r>
      <w:r>
        <w:rPr>
          <w:rFonts w:ascii="標楷體" w:eastAsia="標楷體" w:hAnsi="標楷體"/>
          <w:sz w:val="32"/>
          <w:szCs w:val="32"/>
          <w:lang w:eastAsia="ar-SA"/>
        </w:rPr>
        <w:t>智慧財產權，</w:t>
      </w:r>
      <w:r>
        <w:rPr>
          <w:rFonts w:ascii="標楷體" w:eastAsia="標楷體" w:hAnsi="標楷體"/>
          <w:sz w:val="32"/>
          <w:szCs w:val="32"/>
        </w:rPr>
        <w:t>指我國個人、公司或有限合夥事業自行研發所有符合本條例施行細則第三條之一第二項規定範圍之智慧財產權。</w:t>
      </w:r>
      <w:r>
        <w:t xml:space="preserve">  </w:t>
      </w:r>
      <w:r>
        <w:rPr>
          <w:rFonts w:ascii="標楷體" w:eastAsia="標楷體" w:hAnsi="標楷體" w:cs="新細明體"/>
          <w:kern w:val="0"/>
          <w:sz w:val="32"/>
          <w:szCs w:val="32"/>
        </w:rPr>
        <w:t xml:space="preserve"> </w:t>
      </w:r>
    </w:p>
    <w:p w:rsidR="00A119F1" w:rsidRDefault="002E4B9C">
      <w:pPr>
        <w:pStyle w:val="Textbody"/>
        <w:tabs>
          <w:tab w:val="left" w:pos="793"/>
          <w:tab w:val="left" w:pos="1393"/>
          <w:tab w:val="left" w:pos="1521"/>
          <w:tab w:val="left" w:pos="1639"/>
        </w:tabs>
        <w:ind w:left="964" w:hanging="964"/>
        <w:jc w:val="both"/>
      </w:pPr>
      <w:r>
        <w:rPr>
          <w:rFonts w:ascii="標楷體" w:eastAsia="標楷體" w:hAnsi="標楷體" w:cs="新細明體"/>
          <w:kern w:val="0"/>
          <w:sz w:val="32"/>
          <w:szCs w:val="32"/>
        </w:rPr>
        <w:t>第三條</w:t>
      </w:r>
      <w:r>
        <w:rPr>
          <w:rFonts w:ascii="標楷體" w:eastAsia="標楷體" w:hAnsi="標楷體" w:cs="新細明體"/>
          <w:kern w:val="0"/>
          <w:sz w:val="32"/>
          <w:szCs w:val="32"/>
        </w:rPr>
        <w:t xml:space="preserve">    </w:t>
      </w:r>
      <w:r>
        <w:rPr>
          <w:rFonts w:ascii="標楷體" w:eastAsia="標楷體" w:hAnsi="標楷體" w:cs="新細明體"/>
          <w:color w:val="000000"/>
          <w:kern w:val="0"/>
          <w:sz w:val="32"/>
          <w:szCs w:val="32"/>
        </w:rPr>
        <w:t>我國個人、公司或有限合夥事業依本條例第十二條之一第二項規定，以自行研發所有之智慧財產權作價入股選擇全數緩課所得稅者，其股票發行公司於交付股票當年度經依規定送請中央目的事業主管機關認定適用緩課所得稅者，該股票發行公司應自股票發行年度起至所得人之所得課稅年度止，於辦理各該年度營利事業所得稅結算申報時，依規定格式填報營利事業所得稅結算申報書及租稅減免明細表，並於辦理股票發行當年度營利事業所得稅結</w:t>
      </w:r>
      <w:r>
        <w:rPr>
          <w:rFonts w:ascii="標楷體" w:eastAsia="標楷體" w:hAnsi="標楷體" w:cs="新細明體"/>
          <w:color w:val="000000"/>
          <w:kern w:val="0"/>
          <w:sz w:val="32"/>
          <w:szCs w:val="32"/>
        </w:rPr>
        <w:t>算申報時，檢附下列文件：</w:t>
      </w:r>
    </w:p>
    <w:p w:rsidR="00A119F1" w:rsidRDefault="002E4B9C">
      <w:pPr>
        <w:pStyle w:val="Textbody"/>
        <w:ind w:left="2324" w:hanging="680"/>
        <w:jc w:val="both"/>
        <w:rPr>
          <w:rFonts w:eastAsia="標楷體"/>
          <w:sz w:val="32"/>
          <w:szCs w:val="32"/>
        </w:rPr>
      </w:pPr>
      <w:r>
        <w:rPr>
          <w:rFonts w:eastAsia="標楷體"/>
          <w:sz w:val="32"/>
          <w:szCs w:val="32"/>
          <w:lang w:eastAsia="en-US"/>
        </w:rPr>
        <w:t>一、</w:t>
      </w:r>
      <w:r>
        <w:rPr>
          <w:rFonts w:eastAsia="標楷體"/>
          <w:sz w:val="32"/>
          <w:szCs w:val="32"/>
        </w:rPr>
        <w:t>中央目的事業主管機關核發之自行研發所有之智慧財產權認定</w:t>
      </w:r>
      <w:r>
        <w:rPr>
          <w:rFonts w:eastAsia="標楷體"/>
          <w:sz w:val="32"/>
          <w:szCs w:val="32"/>
          <w:lang w:eastAsia="zh-HK"/>
        </w:rPr>
        <w:t>函影本</w:t>
      </w:r>
      <w:r>
        <w:rPr>
          <w:rFonts w:eastAsia="標楷體"/>
          <w:sz w:val="32"/>
          <w:szCs w:val="32"/>
        </w:rPr>
        <w:t>。</w:t>
      </w:r>
    </w:p>
    <w:p w:rsidR="00A119F1" w:rsidRDefault="002E4B9C">
      <w:pPr>
        <w:pStyle w:val="Textbody"/>
        <w:ind w:left="2324" w:hanging="680"/>
        <w:jc w:val="both"/>
        <w:rPr>
          <w:rFonts w:eastAsia="標楷體"/>
          <w:sz w:val="32"/>
          <w:szCs w:val="32"/>
        </w:rPr>
      </w:pPr>
      <w:r>
        <w:rPr>
          <w:rFonts w:eastAsia="標楷體"/>
          <w:sz w:val="32"/>
          <w:szCs w:val="32"/>
          <w:lang w:eastAsia="en-US"/>
        </w:rPr>
        <w:t>二、</w:t>
      </w:r>
      <w:r>
        <w:rPr>
          <w:rFonts w:eastAsia="標楷體"/>
          <w:sz w:val="32"/>
          <w:szCs w:val="32"/>
        </w:rPr>
        <w:t>董事會議事錄、股東會議事錄及公司登記或變更登記前、後之證明文件等增資資料。</w:t>
      </w:r>
    </w:p>
    <w:p w:rsidR="00A119F1" w:rsidRDefault="002E4B9C">
      <w:pPr>
        <w:pStyle w:val="Textbody"/>
        <w:ind w:left="2324" w:hanging="680"/>
        <w:jc w:val="both"/>
        <w:rPr>
          <w:rFonts w:eastAsia="標楷體"/>
          <w:sz w:val="32"/>
          <w:szCs w:val="32"/>
        </w:rPr>
      </w:pPr>
      <w:r>
        <w:rPr>
          <w:rFonts w:eastAsia="標楷體"/>
          <w:sz w:val="32"/>
          <w:szCs w:val="32"/>
          <w:lang w:eastAsia="en-US"/>
        </w:rPr>
        <w:t>三、</w:t>
      </w:r>
      <w:r>
        <w:rPr>
          <w:rFonts w:eastAsia="標楷體"/>
          <w:sz w:val="32"/>
          <w:szCs w:val="32"/>
        </w:rPr>
        <w:t>當次認股之智慧財產權讓與或授權契約書影本，應載明智慧財產權作價總額、取得股票種類、每股發行價格及股數。</w:t>
      </w:r>
    </w:p>
    <w:p w:rsidR="00A119F1" w:rsidRDefault="002E4B9C">
      <w:pPr>
        <w:pStyle w:val="Textbody"/>
        <w:ind w:left="2324" w:hanging="680"/>
        <w:jc w:val="both"/>
        <w:rPr>
          <w:rFonts w:eastAsia="標楷體"/>
          <w:sz w:val="32"/>
          <w:szCs w:val="32"/>
        </w:rPr>
      </w:pPr>
      <w:r>
        <w:rPr>
          <w:rFonts w:eastAsia="標楷體"/>
          <w:sz w:val="32"/>
          <w:szCs w:val="32"/>
          <w:lang w:eastAsia="en-US"/>
        </w:rPr>
        <w:t>四、</w:t>
      </w:r>
      <w:r>
        <w:rPr>
          <w:rFonts w:eastAsia="標楷體"/>
          <w:sz w:val="32"/>
          <w:szCs w:val="32"/>
        </w:rPr>
        <w:t>讓與或授權智慧財產權之我國個人、公司或有限合夥事業擇定適用緩課所得稅聲明書。</w:t>
      </w:r>
    </w:p>
    <w:p w:rsidR="00A119F1" w:rsidRDefault="002E4B9C">
      <w:pPr>
        <w:pStyle w:val="Textbody"/>
        <w:tabs>
          <w:tab w:val="left" w:pos="1500"/>
        </w:tabs>
        <w:ind w:left="1018"/>
        <w:rPr>
          <w:rFonts w:eastAsia="標楷體"/>
          <w:sz w:val="32"/>
          <w:szCs w:val="32"/>
        </w:rPr>
      </w:pPr>
      <w:r>
        <w:rPr>
          <w:rFonts w:eastAsia="標楷體"/>
          <w:sz w:val="32"/>
          <w:szCs w:val="32"/>
        </w:rPr>
        <w:t xml:space="preserve">　　前項所稱所得課稅年度，為股票實際轉讓年度或帳簿劃撥至其往來證券商或保管機構之保管劃撥帳戶年度。</w:t>
      </w:r>
      <w:r>
        <w:rPr>
          <w:rFonts w:eastAsia="標楷體"/>
          <w:sz w:val="32"/>
          <w:szCs w:val="32"/>
        </w:rPr>
        <w:t xml:space="preserve"> </w:t>
      </w:r>
      <w:r>
        <w:rPr>
          <w:rFonts w:ascii="標楷體" w:eastAsia="標楷體" w:hAnsi="標楷體" w:cs="新細明體"/>
          <w:kern w:val="0"/>
          <w:sz w:val="32"/>
          <w:szCs w:val="32"/>
        </w:rPr>
        <w:t xml:space="preserve">  </w:t>
      </w:r>
    </w:p>
    <w:p w:rsidR="00A119F1" w:rsidRDefault="002E4B9C">
      <w:pPr>
        <w:pStyle w:val="Textbody"/>
        <w:tabs>
          <w:tab w:val="left" w:pos="1599"/>
          <w:tab w:val="left" w:pos="1716"/>
        </w:tabs>
        <w:ind w:left="1020" w:hanging="1644"/>
        <w:jc w:val="both"/>
      </w:pPr>
      <w:r>
        <w:rPr>
          <w:rFonts w:ascii="標楷體" w:eastAsia="標楷體" w:hAnsi="標楷體" w:cs="新細明體"/>
          <w:kern w:val="0"/>
          <w:sz w:val="32"/>
          <w:szCs w:val="32"/>
        </w:rPr>
        <w:t xml:space="preserve">    </w:t>
      </w:r>
      <w:r>
        <w:rPr>
          <w:rFonts w:ascii="標楷體" w:eastAsia="標楷體" w:hAnsi="標楷體" w:cs="新細明體"/>
          <w:kern w:val="0"/>
          <w:sz w:val="32"/>
          <w:szCs w:val="32"/>
        </w:rPr>
        <w:t>第四條</w:t>
      </w:r>
      <w:r>
        <w:rPr>
          <w:rFonts w:ascii="標楷體" w:eastAsia="標楷體" w:hAnsi="標楷體" w:cs="新細明體"/>
          <w:kern w:val="0"/>
          <w:sz w:val="32"/>
          <w:szCs w:val="32"/>
        </w:rPr>
        <w:t xml:space="preserve">    </w:t>
      </w:r>
      <w:r>
        <w:rPr>
          <w:rFonts w:ascii="標楷體" w:eastAsia="標楷體" w:hAnsi="標楷體" w:cs="新細明體"/>
          <w:kern w:val="0"/>
          <w:sz w:val="32"/>
          <w:szCs w:val="32"/>
        </w:rPr>
        <w:t>我國學術或研究機構依本條例第十二條之二第一項規定，以其自行研發且依科學技術基本法第六條第一項歸屬其所有之智慧財產權，讓與或授權公司自行使用，所取得該公司股票，並依同法第六條第三項所定辦法分配予該智慧財產權之我國創作人，該創作人就其取得之股票選擇全數緩課所得稅者，該機構於分配股票予我國創作人當年度依本條例第十二條之二第三項規定經該辦法之主管機關認定適用緩課所得稅者，該股票發行公司應自該機構分配股票予創作人年度起至</w:t>
      </w:r>
      <w:r>
        <w:rPr>
          <w:rFonts w:ascii="標楷體" w:eastAsia="標楷體" w:hAnsi="標楷體" w:cs="新細明體"/>
          <w:kern w:val="0"/>
          <w:sz w:val="32"/>
          <w:szCs w:val="32"/>
        </w:rPr>
        <w:lastRenderedPageBreak/>
        <w:t>創作人之所得課稅年度止，於辦理各該年度營利事業所得稅結算申報時，依規定格式填報營利事業所得稅結算申</w:t>
      </w:r>
      <w:r>
        <w:rPr>
          <w:rFonts w:ascii="標楷體" w:eastAsia="標楷體" w:hAnsi="標楷體" w:cs="新細明體"/>
          <w:kern w:val="0"/>
          <w:sz w:val="32"/>
          <w:szCs w:val="32"/>
        </w:rPr>
        <w:t>報書及租稅減免明細表，並於辦理該機構分配股票予創作人當年度營利事業所得稅結算申報時，檢附下列文件：</w:t>
      </w:r>
    </w:p>
    <w:p w:rsidR="00A119F1" w:rsidRDefault="002E4B9C">
      <w:pPr>
        <w:pStyle w:val="Textbody"/>
        <w:ind w:left="2381" w:hanging="680"/>
        <w:jc w:val="both"/>
        <w:rPr>
          <w:rFonts w:eastAsia="標楷體"/>
          <w:sz w:val="32"/>
          <w:szCs w:val="32"/>
        </w:rPr>
      </w:pPr>
      <w:r>
        <w:rPr>
          <w:rFonts w:eastAsia="標楷體"/>
          <w:sz w:val="32"/>
          <w:szCs w:val="32"/>
          <w:lang w:eastAsia="en-US"/>
        </w:rPr>
        <w:t>一、</w:t>
      </w:r>
      <w:r>
        <w:rPr>
          <w:rFonts w:eastAsia="標楷體"/>
          <w:sz w:val="32"/>
          <w:szCs w:val="32"/>
        </w:rPr>
        <w:t>科學技術基本法第六條第三項所定辦法之主管機關核發之我國學術或研究機構自行研發所有之智慧財產權認定</w:t>
      </w:r>
      <w:r>
        <w:rPr>
          <w:rFonts w:eastAsia="標楷體"/>
          <w:sz w:val="32"/>
          <w:szCs w:val="32"/>
          <w:lang w:eastAsia="zh-HK"/>
        </w:rPr>
        <w:t>函影本</w:t>
      </w:r>
      <w:r>
        <w:rPr>
          <w:rFonts w:eastAsia="標楷體"/>
          <w:sz w:val="32"/>
          <w:szCs w:val="32"/>
        </w:rPr>
        <w:t>。</w:t>
      </w:r>
    </w:p>
    <w:p w:rsidR="00A119F1" w:rsidRDefault="002E4B9C">
      <w:pPr>
        <w:pStyle w:val="Textbody"/>
        <w:ind w:left="2324" w:hanging="624"/>
        <w:jc w:val="both"/>
        <w:rPr>
          <w:rFonts w:eastAsia="標楷體"/>
          <w:sz w:val="32"/>
          <w:szCs w:val="32"/>
        </w:rPr>
      </w:pPr>
      <w:r>
        <w:rPr>
          <w:rFonts w:eastAsia="標楷體"/>
          <w:sz w:val="32"/>
          <w:szCs w:val="32"/>
          <w:lang w:eastAsia="en-US"/>
        </w:rPr>
        <w:t>二、</w:t>
      </w:r>
      <w:r>
        <w:rPr>
          <w:rFonts w:eastAsia="標楷體"/>
          <w:sz w:val="32"/>
          <w:szCs w:val="32"/>
        </w:rPr>
        <w:t>董事會議事錄、股東會議事錄及公司登記或變更登記前、後之證明文件等增資資料。</w:t>
      </w:r>
    </w:p>
    <w:p w:rsidR="00A119F1" w:rsidRDefault="002E4B9C">
      <w:pPr>
        <w:pStyle w:val="Textbody"/>
        <w:ind w:left="2324" w:hanging="624"/>
        <w:jc w:val="both"/>
        <w:rPr>
          <w:rFonts w:eastAsia="標楷體"/>
          <w:sz w:val="32"/>
          <w:szCs w:val="32"/>
        </w:rPr>
      </w:pPr>
      <w:r>
        <w:rPr>
          <w:rFonts w:eastAsia="標楷體"/>
          <w:sz w:val="32"/>
          <w:szCs w:val="32"/>
          <w:lang w:eastAsia="en-US"/>
        </w:rPr>
        <w:t>三、</w:t>
      </w:r>
      <w:r>
        <w:rPr>
          <w:rFonts w:eastAsia="標楷體"/>
          <w:sz w:val="32"/>
          <w:szCs w:val="32"/>
        </w:rPr>
        <w:t>當次認股之智慧財產權讓與或授權契約書影本，應載明智慧財產權作價總額、取得股票種類、每股發行價格及股數。</w:t>
      </w:r>
    </w:p>
    <w:p w:rsidR="00A119F1" w:rsidRDefault="002E4B9C">
      <w:pPr>
        <w:pStyle w:val="Textbody"/>
        <w:ind w:left="1928" w:hanging="227"/>
        <w:jc w:val="both"/>
      </w:pPr>
      <w:r>
        <w:rPr>
          <w:rFonts w:eastAsia="標楷體"/>
          <w:sz w:val="32"/>
          <w:szCs w:val="32"/>
          <w:lang w:eastAsia="en-US"/>
        </w:rPr>
        <w:t>四、</w:t>
      </w:r>
      <w:r>
        <w:rPr>
          <w:rFonts w:eastAsia="標楷體"/>
          <w:sz w:val="32"/>
          <w:szCs w:val="32"/>
        </w:rPr>
        <w:t>我國學術或研究機構與我國創作人分配契約書影本。</w:t>
      </w:r>
    </w:p>
    <w:p w:rsidR="00A119F1" w:rsidRDefault="002E4B9C">
      <w:pPr>
        <w:pStyle w:val="Textbody"/>
        <w:ind w:left="2324" w:hanging="624"/>
        <w:jc w:val="both"/>
      </w:pPr>
      <w:r>
        <w:rPr>
          <w:rFonts w:eastAsia="標楷體"/>
          <w:sz w:val="32"/>
          <w:szCs w:val="32"/>
          <w:lang w:eastAsia="en-US"/>
        </w:rPr>
        <w:t>五、</w:t>
      </w:r>
      <w:r>
        <w:rPr>
          <w:rFonts w:eastAsia="標楷體"/>
          <w:sz w:val="32"/>
          <w:szCs w:val="32"/>
        </w:rPr>
        <w:t xml:space="preserve">智慧財產權之我國創作人擇定適用緩課所得稅聲明書。　　</w:t>
      </w:r>
    </w:p>
    <w:p w:rsidR="00A119F1" w:rsidRDefault="002E4B9C">
      <w:pPr>
        <w:pStyle w:val="Textbody"/>
        <w:ind w:left="1038"/>
        <w:jc w:val="both"/>
        <w:rPr>
          <w:rFonts w:eastAsia="標楷體"/>
          <w:sz w:val="32"/>
          <w:szCs w:val="32"/>
        </w:rPr>
      </w:pPr>
      <w:r>
        <w:rPr>
          <w:rFonts w:eastAsia="標楷體"/>
          <w:sz w:val="32"/>
          <w:szCs w:val="32"/>
        </w:rPr>
        <w:t xml:space="preserve">　　</w:t>
      </w:r>
      <w:r>
        <w:rPr>
          <w:rFonts w:eastAsia="標楷體"/>
          <w:sz w:val="32"/>
          <w:szCs w:val="32"/>
        </w:rPr>
        <w:t xml:space="preserve">前項所稱所得課稅年度，為創作人股票實際轉讓年度或帳簿劃撥至其往來證券商或保管機構之保管劃撥帳戶年度。　　　</w:t>
      </w:r>
    </w:p>
    <w:p w:rsidR="00A119F1" w:rsidRDefault="002E4B9C">
      <w:pPr>
        <w:pStyle w:val="Textbody"/>
        <w:ind w:left="1038"/>
        <w:jc w:val="both"/>
        <w:rPr>
          <w:rFonts w:eastAsia="標楷體"/>
          <w:sz w:val="32"/>
          <w:szCs w:val="32"/>
        </w:rPr>
      </w:pPr>
      <w:r>
        <w:rPr>
          <w:rFonts w:eastAsia="標楷體"/>
          <w:sz w:val="32"/>
          <w:szCs w:val="32"/>
        </w:rPr>
        <w:t xml:space="preserve">　　科學技術基本法第六條第三項所定辦法之主管機關應將依第一項規定認定適用緩課所得稅之結果函復我國學術或研究機構，並副知股票發行公司及公司所在地稅捐稽徵機關。</w:t>
      </w:r>
    </w:p>
    <w:p w:rsidR="00A119F1" w:rsidRDefault="002E4B9C">
      <w:pPr>
        <w:pStyle w:val="Textbody"/>
        <w:tabs>
          <w:tab w:val="left" w:pos="1826"/>
        </w:tabs>
        <w:ind w:left="1088" w:hanging="1138"/>
        <w:rPr>
          <w:rFonts w:eastAsia="標楷體"/>
          <w:sz w:val="32"/>
          <w:szCs w:val="32"/>
        </w:rPr>
      </w:pPr>
      <w:r>
        <w:rPr>
          <w:rFonts w:eastAsia="標楷體"/>
          <w:sz w:val="32"/>
          <w:szCs w:val="32"/>
        </w:rPr>
        <w:t xml:space="preserve"> </w:t>
      </w:r>
      <w:r>
        <w:rPr>
          <w:rFonts w:eastAsia="標楷體"/>
          <w:sz w:val="32"/>
          <w:szCs w:val="32"/>
        </w:rPr>
        <w:t>第五條</w:t>
      </w:r>
      <w:r>
        <w:rPr>
          <w:rFonts w:eastAsia="標楷體"/>
          <w:sz w:val="32"/>
          <w:szCs w:val="32"/>
        </w:rPr>
        <w:t xml:space="preserve">    </w:t>
      </w:r>
      <w:r>
        <w:rPr>
          <w:rFonts w:eastAsia="標楷體"/>
          <w:sz w:val="32"/>
          <w:szCs w:val="32"/>
        </w:rPr>
        <w:t>依第三條規定選擇緩課所得稅之我國個人、公司或有限合夥事業，應於股票實際轉讓或帳簿劃撥至其往來證券商或保管機構之保管劃撥帳戶時，以該股票之轉讓價格、贈與或作為遺產分配時之時價或撥轉日之時價，作為轉讓或撥轉年度之收益，於扣除取得股票相</w:t>
      </w:r>
      <w:r>
        <w:rPr>
          <w:rFonts w:eastAsia="標楷體"/>
          <w:sz w:val="32"/>
          <w:szCs w:val="32"/>
        </w:rPr>
        <w:t>關尚未認列之成本或費用後之餘額為所得額，計入轉讓或辦理帳簿劃撥年度之所得額課稅。</w:t>
      </w:r>
    </w:p>
    <w:p w:rsidR="00A119F1" w:rsidRDefault="002E4B9C">
      <w:pPr>
        <w:pStyle w:val="Textbody"/>
        <w:ind w:left="1075" w:hanging="225"/>
        <w:jc w:val="both"/>
        <w:rPr>
          <w:rFonts w:eastAsia="標楷體"/>
          <w:sz w:val="32"/>
          <w:szCs w:val="32"/>
        </w:rPr>
      </w:pPr>
      <w:r>
        <w:rPr>
          <w:rFonts w:eastAsia="標楷體"/>
          <w:sz w:val="32"/>
          <w:szCs w:val="32"/>
        </w:rPr>
        <w:t xml:space="preserve">　</w:t>
      </w:r>
      <w:r>
        <w:rPr>
          <w:rFonts w:eastAsia="標楷體"/>
          <w:sz w:val="32"/>
          <w:szCs w:val="32"/>
        </w:rPr>
        <w:t xml:space="preserve"> </w:t>
      </w:r>
      <w:r>
        <w:rPr>
          <w:rFonts w:eastAsia="標楷體"/>
          <w:sz w:val="32"/>
          <w:szCs w:val="32"/>
        </w:rPr>
        <w:t xml:space="preserve">　依前條規定選擇緩課所得稅之我國創作人，應於股票實際轉讓或帳簿劃撥至其往來證券商或保管機構之保管劃撥帳戶時，以該股票之轉讓價格、贈與或作為遺產分配時之時價或撥轉日之時價，作為轉讓或撥轉年度之薪資所得，依所得稅法規定計算並申報課徵所得稅。</w:t>
      </w:r>
    </w:p>
    <w:p w:rsidR="00A119F1" w:rsidRDefault="002E4B9C">
      <w:pPr>
        <w:pStyle w:val="Textbody"/>
        <w:ind w:left="1100" w:hanging="225"/>
        <w:jc w:val="both"/>
        <w:rPr>
          <w:rFonts w:eastAsia="標楷體"/>
          <w:sz w:val="32"/>
          <w:szCs w:val="32"/>
        </w:rPr>
      </w:pPr>
      <w:r>
        <w:rPr>
          <w:rFonts w:eastAsia="標楷體"/>
          <w:sz w:val="32"/>
          <w:szCs w:val="32"/>
        </w:rPr>
        <w:t xml:space="preserve">　　　前二項所稱轉讓，指買賣、贈與、作為遺產分配（繼承開始時）、公司減資銷除股份、公司清算或其他原因致股份所有權變更者。</w:t>
      </w:r>
    </w:p>
    <w:p w:rsidR="00A119F1" w:rsidRDefault="002E4B9C">
      <w:pPr>
        <w:pStyle w:val="Textbody"/>
        <w:ind w:left="1100"/>
        <w:rPr>
          <w:rFonts w:eastAsia="標楷體"/>
          <w:sz w:val="32"/>
          <w:szCs w:val="32"/>
        </w:rPr>
      </w:pPr>
      <w:r>
        <w:rPr>
          <w:rFonts w:eastAsia="標楷體"/>
          <w:sz w:val="32"/>
          <w:szCs w:val="32"/>
        </w:rPr>
        <w:t xml:space="preserve">　</w:t>
      </w:r>
      <w:r>
        <w:rPr>
          <w:rFonts w:eastAsia="標楷體"/>
          <w:sz w:val="32"/>
          <w:szCs w:val="32"/>
        </w:rPr>
        <w:t xml:space="preserve">  </w:t>
      </w:r>
      <w:r>
        <w:rPr>
          <w:rFonts w:eastAsia="標楷體"/>
          <w:sz w:val="32"/>
          <w:szCs w:val="32"/>
        </w:rPr>
        <w:t>適用本條例第十二條之一第二項規定之我國個人依第一項</w:t>
      </w:r>
      <w:r>
        <w:rPr>
          <w:rFonts w:eastAsia="標楷體"/>
          <w:sz w:val="32"/>
          <w:szCs w:val="32"/>
        </w:rPr>
        <w:lastRenderedPageBreak/>
        <w:t>規定計算所</w:t>
      </w:r>
      <w:r>
        <w:rPr>
          <w:rFonts w:eastAsia="標楷體"/>
          <w:sz w:val="32"/>
          <w:szCs w:val="32"/>
        </w:rPr>
        <w:t>得時，如未能提出成本或費用證明文件，其成本及費用按其收益、轉讓價格、贈與或作為遺產分配時之時價或撥轉日之時價之百分之三十計算減除之。</w:t>
      </w:r>
    </w:p>
    <w:p w:rsidR="00A119F1" w:rsidRDefault="002E4B9C">
      <w:pPr>
        <w:pStyle w:val="Textbody"/>
        <w:ind w:left="1125"/>
        <w:rPr>
          <w:rFonts w:eastAsia="標楷體"/>
          <w:sz w:val="32"/>
          <w:szCs w:val="32"/>
        </w:rPr>
      </w:pPr>
      <w:r>
        <w:rPr>
          <w:rFonts w:eastAsia="標楷體"/>
          <w:sz w:val="32"/>
          <w:szCs w:val="32"/>
        </w:rPr>
        <w:t xml:space="preserve">　　第一項及第二項股票帳簿劃撥至其往來證券商或</w:t>
      </w:r>
      <w:r>
        <w:rPr>
          <w:rFonts w:eastAsia="標楷體"/>
          <w:sz w:val="32"/>
          <w:szCs w:val="32"/>
          <w:lang w:eastAsia="ar-SA"/>
        </w:rPr>
        <w:t>保管</w:t>
      </w:r>
      <w:r>
        <w:rPr>
          <w:rFonts w:eastAsia="標楷體"/>
          <w:sz w:val="32"/>
          <w:szCs w:val="32"/>
        </w:rPr>
        <w:t>機構之保管劃撥帳戶後，不得申請恢復緩課所得稅或變更課稅時點。</w:t>
      </w:r>
    </w:p>
    <w:p w:rsidR="00A119F1" w:rsidRDefault="002E4B9C">
      <w:pPr>
        <w:pStyle w:val="Textbody"/>
        <w:ind w:left="1138"/>
        <w:rPr>
          <w:rFonts w:eastAsia="標楷體"/>
          <w:sz w:val="32"/>
          <w:szCs w:val="32"/>
        </w:rPr>
      </w:pPr>
      <w:r>
        <w:rPr>
          <w:rFonts w:eastAsia="標楷體"/>
          <w:sz w:val="32"/>
          <w:szCs w:val="32"/>
        </w:rPr>
        <w:t xml:space="preserve">　　股票發行公司應將前五項課稅規定於我國個人、公司、有限合夥事業或我國創作人擇定適用緩課所得稅聲明書及股票載明。</w:t>
      </w:r>
    </w:p>
    <w:p w:rsidR="00A119F1" w:rsidRDefault="002E4B9C">
      <w:pPr>
        <w:pStyle w:val="Textbody"/>
        <w:ind w:left="1113" w:hanging="963"/>
        <w:rPr>
          <w:rFonts w:eastAsia="標楷體"/>
          <w:sz w:val="32"/>
          <w:szCs w:val="32"/>
        </w:rPr>
      </w:pPr>
      <w:r>
        <w:rPr>
          <w:rFonts w:eastAsia="標楷體"/>
          <w:sz w:val="32"/>
          <w:szCs w:val="32"/>
        </w:rPr>
        <w:t>第六條</w:t>
      </w:r>
      <w:r>
        <w:rPr>
          <w:rFonts w:eastAsia="標楷體"/>
          <w:sz w:val="32"/>
          <w:szCs w:val="32"/>
        </w:rPr>
        <w:t xml:space="preserve">    </w:t>
      </w:r>
      <w:r>
        <w:rPr>
          <w:rFonts w:eastAsia="標楷體"/>
          <w:sz w:val="32"/>
          <w:szCs w:val="32"/>
        </w:rPr>
        <w:t>公司員工依本條例第十九條之一第一項規定取得股票並於規定限額內選擇全數緩課所得稅者，其股票發行公司應自員工取得股票年度或股票可處分日年度起至所得人之所得課稅年度止，於辦理各該年度營利事業所得稅結算申報時，依規定格式填報營利事業所得稅結算申報書及租稅減免明細表，並於辦理員工取得股票當年度或可處分日年度營利事業所得稅結算申報時，檢附下列文件：</w:t>
      </w:r>
    </w:p>
    <w:p w:rsidR="00A119F1" w:rsidRDefault="002E4B9C">
      <w:pPr>
        <w:pStyle w:val="Textbody"/>
        <w:ind w:left="2438" w:hanging="680"/>
        <w:jc w:val="both"/>
        <w:rPr>
          <w:rFonts w:eastAsia="標楷體"/>
          <w:sz w:val="32"/>
          <w:szCs w:val="32"/>
        </w:rPr>
      </w:pPr>
      <w:r>
        <w:rPr>
          <w:rFonts w:eastAsia="標楷體"/>
          <w:sz w:val="32"/>
          <w:szCs w:val="32"/>
          <w:lang w:eastAsia="en-US"/>
        </w:rPr>
        <w:t>一、</w:t>
      </w:r>
      <w:r>
        <w:rPr>
          <w:rFonts w:eastAsia="標楷體"/>
          <w:sz w:val="32"/>
          <w:szCs w:val="32"/>
        </w:rPr>
        <w:t>中央目的事業主管機關之獎酬員工股份基礎給付備查函影本。</w:t>
      </w:r>
    </w:p>
    <w:p w:rsidR="00A119F1" w:rsidRDefault="002E4B9C">
      <w:pPr>
        <w:pStyle w:val="Textbody"/>
        <w:ind w:left="2438" w:hanging="680"/>
        <w:jc w:val="both"/>
        <w:rPr>
          <w:rFonts w:eastAsia="標楷體"/>
          <w:sz w:val="32"/>
          <w:szCs w:val="32"/>
        </w:rPr>
      </w:pPr>
      <w:r>
        <w:rPr>
          <w:rFonts w:eastAsia="標楷體"/>
          <w:sz w:val="32"/>
          <w:szCs w:val="32"/>
          <w:lang w:eastAsia="en-US"/>
        </w:rPr>
        <w:t>二、</w:t>
      </w:r>
      <w:r>
        <w:rPr>
          <w:rFonts w:eastAsia="標楷體"/>
          <w:sz w:val="32"/>
          <w:szCs w:val="32"/>
        </w:rPr>
        <w:t>董事會議事錄、股東會議事錄及公司登記或變更登記前、後之證明文件等增資資料（非屬增資者免附）。</w:t>
      </w:r>
    </w:p>
    <w:p w:rsidR="00A119F1" w:rsidRDefault="002E4B9C">
      <w:pPr>
        <w:pStyle w:val="Textbody"/>
        <w:ind w:left="2438" w:hanging="680"/>
        <w:jc w:val="both"/>
      </w:pPr>
      <w:r>
        <w:rPr>
          <w:rFonts w:eastAsia="標楷體"/>
          <w:sz w:val="32"/>
          <w:szCs w:val="32"/>
          <w:lang w:eastAsia="en-US"/>
        </w:rPr>
        <w:t>三、</w:t>
      </w:r>
      <w:r>
        <w:rPr>
          <w:rFonts w:eastAsia="標楷體"/>
          <w:sz w:val="32"/>
          <w:szCs w:val="32"/>
        </w:rPr>
        <w:t>獎酬員工股份基礎給付相關文件，內容應包含取得股票種類、每股發行價格及股數。</w:t>
      </w:r>
    </w:p>
    <w:p w:rsidR="00A119F1" w:rsidRDefault="002E4B9C">
      <w:pPr>
        <w:pStyle w:val="Textbody"/>
        <w:ind w:left="2438" w:hanging="680"/>
        <w:jc w:val="both"/>
      </w:pPr>
      <w:r>
        <w:rPr>
          <w:rFonts w:eastAsia="標楷體"/>
          <w:sz w:val="32"/>
          <w:szCs w:val="32"/>
        </w:rPr>
        <w:t>四、公司員工擇定適用緩課所得稅聲明書。</w:t>
      </w:r>
      <w:r>
        <w:rPr>
          <w:rFonts w:eastAsia="標楷體"/>
          <w:sz w:val="32"/>
          <w:szCs w:val="32"/>
        </w:rPr>
        <w:t xml:space="preserve">  </w:t>
      </w:r>
    </w:p>
    <w:p w:rsidR="00A119F1" w:rsidRDefault="002E4B9C">
      <w:pPr>
        <w:pStyle w:val="Textbody"/>
        <w:tabs>
          <w:tab w:val="left" w:pos="1549"/>
          <w:tab w:val="left" w:pos="1999"/>
          <w:tab w:val="left" w:pos="2211"/>
        </w:tabs>
        <w:ind w:left="1361" w:hanging="1020"/>
        <w:rPr>
          <w:rFonts w:eastAsia="標楷體"/>
          <w:sz w:val="32"/>
          <w:szCs w:val="32"/>
        </w:rPr>
      </w:pPr>
      <w:r>
        <w:rPr>
          <w:rFonts w:eastAsia="標楷體"/>
          <w:sz w:val="32"/>
          <w:szCs w:val="32"/>
        </w:rPr>
        <w:t>第七條</w:t>
      </w:r>
      <w:r>
        <w:rPr>
          <w:rFonts w:eastAsia="標楷體"/>
          <w:sz w:val="32"/>
          <w:szCs w:val="32"/>
        </w:rPr>
        <w:t xml:space="preserve">    </w:t>
      </w:r>
      <w:r>
        <w:rPr>
          <w:rFonts w:eastAsia="標楷體"/>
          <w:sz w:val="32"/>
          <w:szCs w:val="32"/>
        </w:rPr>
        <w:t>公司員工依前條規定選擇緩課所得稅之金額，應以取得股票當年度或股票可處分日年度按時價計算全年合計新臺幣五百萬元為限。</w:t>
      </w:r>
    </w:p>
    <w:p w:rsidR="00A119F1" w:rsidRDefault="002E4B9C">
      <w:pPr>
        <w:pStyle w:val="Textbody"/>
        <w:tabs>
          <w:tab w:val="left" w:pos="1536"/>
        </w:tabs>
        <w:ind w:left="1361" w:firstLine="57"/>
        <w:jc w:val="both"/>
        <w:rPr>
          <w:rFonts w:eastAsia="標楷體"/>
          <w:sz w:val="32"/>
          <w:szCs w:val="32"/>
        </w:rPr>
      </w:pPr>
      <w:r>
        <w:rPr>
          <w:rFonts w:eastAsia="標楷體"/>
          <w:sz w:val="32"/>
          <w:szCs w:val="32"/>
        </w:rPr>
        <w:t xml:space="preserve">　　前項公司員工應於股票實際轉讓或帳簿劃撥至其往來證券商或保管機構之保管劃撥帳戶時，以該股票之轉讓價格、贈與或作為遺產分配時之時價或撥轉日之時價，作為轉讓或撥轉年度之收益，依所得稅法規定計算所得並申報課徵所得稅。</w:t>
      </w:r>
    </w:p>
    <w:p w:rsidR="00A119F1" w:rsidRDefault="002E4B9C">
      <w:pPr>
        <w:pStyle w:val="Textbody"/>
        <w:ind w:left="1350"/>
        <w:rPr>
          <w:rFonts w:eastAsia="標楷體"/>
          <w:sz w:val="32"/>
          <w:szCs w:val="32"/>
        </w:rPr>
      </w:pPr>
      <w:r>
        <w:rPr>
          <w:rFonts w:eastAsia="標楷體"/>
          <w:sz w:val="32"/>
          <w:szCs w:val="32"/>
        </w:rPr>
        <w:t xml:space="preserve">    </w:t>
      </w:r>
      <w:r>
        <w:rPr>
          <w:rFonts w:eastAsia="標楷體"/>
          <w:sz w:val="32"/>
          <w:szCs w:val="32"/>
        </w:rPr>
        <w:t>前項所稱轉讓，指買賣、贈與、作為遺產分配</w:t>
      </w:r>
      <w:r>
        <w:rPr>
          <w:rFonts w:eastAsia="標楷體"/>
          <w:sz w:val="32"/>
          <w:szCs w:val="32"/>
        </w:rPr>
        <w:t>（繼承開始時）、公司減資銷除股份、公司清算或其他原因致股份所有權變更者。</w:t>
      </w:r>
    </w:p>
    <w:p w:rsidR="00A119F1" w:rsidRDefault="002E4B9C">
      <w:pPr>
        <w:pStyle w:val="Textbody"/>
        <w:ind w:left="1350"/>
        <w:rPr>
          <w:rFonts w:eastAsia="標楷體"/>
          <w:sz w:val="32"/>
          <w:szCs w:val="32"/>
        </w:rPr>
      </w:pPr>
      <w:r>
        <w:rPr>
          <w:rFonts w:eastAsia="標楷體"/>
          <w:sz w:val="32"/>
          <w:szCs w:val="32"/>
        </w:rPr>
        <w:t xml:space="preserve">　　第二項股票帳簿劃撥至往來證券商或保管</w:t>
      </w:r>
      <w:r>
        <w:rPr>
          <w:rFonts w:eastAsia="標楷體"/>
          <w:sz w:val="32"/>
          <w:szCs w:val="32"/>
          <w:lang w:eastAsia="ar-SA"/>
        </w:rPr>
        <w:t>機構</w:t>
      </w:r>
      <w:r>
        <w:rPr>
          <w:rFonts w:eastAsia="標楷體"/>
          <w:sz w:val="32"/>
          <w:szCs w:val="32"/>
        </w:rPr>
        <w:t>之保管</w:t>
      </w:r>
      <w:r>
        <w:rPr>
          <w:rFonts w:eastAsia="標楷體"/>
          <w:sz w:val="32"/>
          <w:szCs w:val="32"/>
        </w:rPr>
        <w:lastRenderedPageBreak/>
        <w:t>劃撥帳戶後，不得申請恢復緩課所得稅或變更課稅時點。</w:t>
      </w:r>
    </w:p>
    <w:p w:rsidR="00A119F1" w:rsidRDefault="002E4B9C">
      <w:pPr>
        <w:pStyle w:val="Textbody"/>
        <w:ind w:left="1338"/>
        <w:rPr>
          <w:rFonts w:eastAsia="標楷體"/>
          <w:sz w:val="32"/>
          <w:szCs w:val="32"/>
        </w:rPr>
      </w:pPr>
      <w:r>
        <w:rPr>
          <w:rFonts w:eastAsia="標楷體"/>
          <w:sz w:val="32"/>
          <w:szCs w:val="32"/>
        </w:rPr>
        <w:t xml:space="preserve">　　股票發行公司應將前四項課稅規定於公司員工擇定適用緩課所得稅聲明書及股票載明。</w:t>
      </w:r>
      <w:r>
        <w:rPr>
          <w:rFonts w:eastAsia="標楷體"/>
          <w:sz w:val="32"/>
          <w:szCs w:val="32"/>
        </w:rPr>
        <w:t xml:space="preserve">  </w:t>
      </w:r>
    </w:p>
    <w:p w:rsidR="00A119F1" w:rsidRDefault="002E4B9C">
      <w:pPr>
        <w:pStyle w:val="Textbody"/>
        <w:tabs>
          <w:tab w:val="left" w:pos="1455"/>
          <w:tab w:val="left" w:pos="2205"/>
          <w:tab w:val="left" w:pos="2267"/>
        </w:tabs>
        <w:ind w:left="1417" w:hanging="1134"/>
        <w:jc w:val="both"/>
        <w:rPr>
          <w:sz w:val="32"/>
        </w:rPr>
      </w:pPr>
      <w:r>
        <w:rPr>
          <w:rFonts w:ascii="標楷體" w:eastAsia="標楷體" w:hAnsi="標楷體" w:cs="新細明體"/>
          <w:kern w:val="0"/>
          <w:sz w:val="32"/>
          <w:szCs w:val="32"/>
        </w:rPr>
        <w:t xml:space="preserve"> </w:t>
      </w:r>
      <w:r>
        <w:rPr>
          <w:rFonts w:eastAsia="標楷體" w:cs="新細明體"/>
          <w:kern w:val="0"/>
          <w:sz w:val="32"/>
          <w:szCs w:val="32"/>
        </w:rPr>
        <w:t xml:space="preserve">第八條　</w:t>
      </w:r>
      <w:r>
        <w:rPr>
          <w:rFonts w:eastAsia="標楷體" w:cs="新細明體"/>
          <w:kern w:val="0"/>
          <w:sz w:val="32"/>
          <w:szCs w:val="32"/>
        </w:rPr>
        <w:t xml:space="preserve">  </w:t>
      </w:r>
      <w:r>
        <w:rPr>
          <w:rFonts w:ascii="標楷體" w:eastAsia="標楷體" w:hAnsi="標楷體" w:cs="新細明體"/>
          <w:kern w:val="0"/>
          <w:sz w:val="32"/>
          <w:szCs w:val="32"/>
        </w:rPr>
        <w:t>本條例第十九條之一第一項所稱取得股票當年度及股票可處分日年度，依下列取得股票日或股票可處分日所屬年度認定之：</w:t>
      </w:r>
    </w:p>
    <w:p w:rsidR="00A119F1" w:rsidRDefault="002E4B9C">
      <w:pPr>
        <w:pStyle w:val="Textbody"/>
        <w:ind w:left="737" w:firstLine="964"/>
        <w:rPr>
          <w:rFonts w:ascii="標楷體" w:eastAsia="標楷體" w:hAnsi="標楷體"/>
          <w:sz w:val="32"/>
          <w:szCs w:val="32"/>
        </w:rPr>
      </w:pPr>
      <w:r>
        <w:rPr>
          <w:rFonts w:ascii="標楷體" w:eastAsia="標楷體" w:hAnsi="標楷體"/>
          <w:sz w:val="32"/>
          <w:szCs w:val="32"/>
        </w:rPr>
        <w:t xml:space="preserve">　一、取得股票日：</w:t>
      </w:r>
    </w:p>
    <w:p w:rsidR="00A119F1" w:rsidRDefault="002E4B9C">
      <w:pPr>
        <w:pStyle w:val="Textbody"/>
        <w:ind w:left="3345" w:hanging="6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發給員工酬勞之股票、員工現金增資認股、買回庫藏股發放員工及限制員工權利新股：為股票發行公司交付股票日</w:t>
      </w:r>
      <w:r>
        <w:rPr>
          <w:rFonts w:ascii="標楷體" w:eastAsia="標楷體" w:hAnsi="標楷體"/>
          <w:sz w:val="32"/>
          <w:szCs w:val="32"/>
        </w:rPr>
        <w:t>。股票交付採帳簿劃撥者，為公司或其代理機構指定之帳簿劃撥交付日；非採帳簿劃撥者，為公司或其代理機構規定可領取股票之首日，但交付股票前先行交付新股權利證書或股款繳納憑證者，為證書或憑證之帳簿劃撥日。</w:t>
      </w:r>
    </w:p>
    <w:p w:rsidR="00A119F1" w:rsidRDefault="002E4B9C">
      <w:pPr>
        <w:pStyle w:val="Textbody"/>
        <w:ind w:left="3345" w:hanging="6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員工認股權憑證：為員工執行權利日，並以發行公司或其代理機構依規定交付股票日認定。但先行交付認股權股款繳納憑證者，為交付該憑證之日。</w:t>
      </w:r>
    </w:p>
    <w:p w:rsidR="00A119F1" w:rsidRDefault="002E4B9C">
      <w:pPr>
        <w:pStyle w:val="Textbody"/>
        <w:ind w:left="2835" w:hanging="79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二、前款獎酬員工股份基礎給付訂有限制轉讓期間者，其股票可處分日：</w:t>
      </w:r>
    </w:p>
    <w:p w:rsidR="00A119F1" w:rsidRDefault="002E4B9C">
      <w:pPr>
        <w:pStyle w:val="Textbody"/>
        <w:ind w:left="3345" w:hanging="6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公司法第二百六十七條第八項規定之限制員工權利新股：為既得條件達成日。其採集中保管者，為臺灣集中保管結算所股份有限公司解除限制員工權利新股註記之日；其採信託保管者，為受託人將股票撥付員工帳戶之日。</w:t>
      </w:r>
    </w:p>
    <w:p w:rsidR="00A119F1" w:rsidRDefault="002E4B9C">
      <w:pPr>
        <w:pStyle w:val="Textbody"/>
        <w:ind w:left="3345" w:hanging="6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前目以外之股票：為限制轉讓期間屆滿次日。</w:t>
      </w:r>
    </w:p>
    <w:p w:rsidR="00A119F1" w:rsidRDefault="002E4B9C">
      <w:pPr>
        <w:pStyle w:val="Textbody"/>
        <w:ind w:left="1417" w:hanging="907"/>
        <w:rPr>
          <w:rFonts w:eastAsia="標楷體"/>
          <w:color w:val="000000"/>
          <w:sz w:val="32"/>
          <w:szCs w:val="32"/>
        </w:rPr>
      </w:pPr>
      <w:r>
        <w:rPr>
          <w:rFonts w:eastAsia="標楷體"/>
          <w:color w:val="000000"/>
          <w:sz w:val="32"/>
          <w:szCs w:val="32"/>
        </w:rPr>
        <w:t>第九條</w:t>
      </w:r>
      <w:r>
        <w:rPr>
          <w:rFonts w:eastAsia="標楷體"/>
          <w:color w:val="000000"/>
          <w:sz w:val="32"/>
          <w:szCs w:val="32"/>
        </w:rPr>
        <w:t xml:space="preserve">    </w:t>
      </w:r>
      <w:r>
        <w:rPr>
          <w:rFonts w:eastAsia="標楷體"/>
          <w:color w:val="000000"/>
          <w:sz w:val="32"/>
          <w:szCs w:val="32"/>
        </w:rPr>
        <w:t>本條例第十九條之一第一項所稱新臺幣五百萬元總額，應以前條第一款之取得股票日及第二款之股票可處分日之時價計算之。其時價認定如下：</w:t>
      </w:r>
    </w:p>
    <w:p w:rsidR="00A119F1" w:rsidRDefault="002E4B9C">
      <w:pPr>
        <w:pStyle w:val="Textbody"/>
        <w:ind w:left="2778" w:hanging="680"/>
        <w:jc w:val="both"/>
        <w:rPr>
          <w:rFonts w:eastAsia="標楷體"/>
          <w:sz w:val="32"/>
          <w:szCs w:val="32"/>
        </w:rPr>
      </w:pPr>
      <w:r>
        <w:rPr>
          <w:rFonts w:eastAsia="標楷體"/>
          <w:sz w:val="32"/>
          <w:szCs w:val="32"/>
          <w:lang w:eastAsia="en-US"/>
        </w:rPr>
        <w:t>一、</w:t>
      </w:r>
      <w:r>
        <w:rPr>
          <w:rFonts w:eastAsia="標楷體"/>
          <w:sz w:val="32"/>
          <w:szCs w:val="32"/>
        </w:rPr>
        <w:t>取得上市或上櫃股票者，為取得股票日或股票可處分日標的股票之收盤價，該日無交易價格者，為該日後第一個有交易價格日之收盤價。</w:t>
      </w:r>
    </w:p>
    <w:p w:rsidR="00A119F1" w:rsidRDefault="002E4B9C">
      <w:pPr>
        <w:pStyle w:val="Textbody"/>
        <w:ind w:left="2778" w:hanging="680"/>
        <w:jc w:val="both"/>
        <w:rPr>
          <w:rFonts w:eastAsia="標楷體"/>
          <w:sz w:val="32"/>
          <w:szCs w:val="32"/>
        </w:rPr>
      </w:pPr>
      <w:r>
        <w:rPr>
          <w:rFonts w:eastAsia="標楷體"/>
          <w:sz w:val="32"/>
          <w:szCs w:val="32"/>
          <w:lang w:eastAsia="en-US"/>
        </w:rPr>
        <w:t>二、</w:t>
      </w:r>
      <w:r>
        <w:rPr>
          <w:rFonts w:eastAsia="標楷體"/>
          <w:sz w:val="32"/>
          <w:szCs w:val="32"/>
        </w:rPr>
        <w:t>取得依臺灣證券交易所股份有限公司營業細則第</w:t>
      </w:r>
      <w:r>
        <w:rPr>
          <w:rFonts w:eastAsia="標楷體"/>
          <w:sz w:val="32"/>
          <w:szCs w:val="32"/>
        </w:rPr>
        <w:lastRenderedPageBreak/>
        <w:t>六十三條第二項規定自上市買賣日起五個交易日成交價格無升降幅度限制之初次上市股票，或取得依財團法人中華民國證券櫃檯買賣中心證券商營業處所買賣有價證券業務規則第五十五條第四項規定自櫃檯買賣開始日起連續五個營業日成交價格無升降幅度限制之初次上櫃股票者，為取得股票日或股票可處分日標的股票之加權平均成交價格。</w:t>
      </w:r>
    </w:p>
    <w:p w:rsidR="00A119F1" w:rsidRDefault="002E4B9C">
      <w:pPr>
        <w:pStyle w:val="Textbody"/>
        <w:ind w:left="2778" w:hanging="680"/>
        <w:jc w:val="both"/>
        <w:rPr>
          <w:rFonts w:eastAsia="標楷體"/>
          <w:sz w:val="32"/>
          <w:szCs w:val="32"/>
        </w:rPr>
      </w:pPr>
      <w:r>
        <w:rPr>
          <w:rFonts w:eastAsia="標楷體"/>
          <w:sz w:val="32"/>
          <w:szCs w:val="32"/>
          <w:lang w:eastAsia="en-US"/>
        </w:rPr>
        <w:t>三、</w:t>
      </w:r>
      <w:r>
        <w:rPr>
          <w:rFonts w:eastAsia="標楷體"/>
          <w:sz w:val="32"/>
          <w:szCs w:val="32"/>
        </w:rPr>
        <w:t>取得興櫃股票者，為取得股票日或股票可處分日標的股票之加權平均成交價格，該日無交易價格者，為該日後第一個有交易價格日之加權平均成交價格。</w:t>
      </w:r>
    </w:p>
    <w:p w:rsidR="00A119F1" w:rsidRDefault="002E4B9C">
      <w:pPr>
        <w:pStyle w:val="Textbody"/>
        <w:ind w:left="2778" w:hanging="680"/>
        <w:jc w:val="both"/>
        <w:rPr>
          <w:rFonts w:eastAsia="標楷體"/>
          <w:sz w:val="32"/>
          <w:szCs w:val="32"/>
        </w:rPr>
      </w:pPr>
      <w:r>
        <w:rPr>
          <w:rFonts w:eastAsia="標楷體"/>
          <w:sz w:val="32"/>
          <w:szCs w:val="32"/>
        </w:rPr>
        <w:t>四</w:t>
      </w:r>
      <w:r>
        <w:rPr>
          <w:rFonts w:eastAsia="標楷體"/>
          <w:sz w:val="32"/>
          <w:szCs w:val="32"/>
          <w:lang w:eastAsia="en-US"/>
        </w:rPr>
        <w:t>、</w:t>
      </w:r>
      <w:r>
        <w:rPr>
          <w:rFonts w:eastAsia="標楷體"/>
          <w:sz w:val="32"/>
          <w:szCs w:val="32"/>
        </w:rPr>
        <w:t>取得其他未上市、未上</w:t>
      </w:r>
      <w:r>
        <w:rPr>
          <w:rFonts w:eastAsia="標楷體"/>
          <w:sz w:val="32"/>
          <w:szCs w:val="32"/>
        </w:rPr>
        <w:t>櫃或非屬興櫃股票者，為取得股票日或股票可處分日標的股票之前一年內最近一期經會計師查核簽證之財務報告每股淨值，該日之前一年內無經會計師查核簽證之財務報告者，為依該日公司資產淨值核算之每股淨值</w:t>
      </w:r>
      <w:r>
        <w:rPr>
          <w:rFonts w:eastAsia="標楷體"/>
          <w:color w:val="000000"/>
          <w:sz w:val="32"/>
          <w:szCs w:val="32"/>
        </w:rPr>
        <w:t>。</w:t>
      </w:r>
    </w:p>
    <w:p w:rsidR="00A119F1" w:rsidRDefault="002E4B9C">
      <w:pPr>
        <w:pStyle w:val="Textbody"/>
        <w:ind w:left="1531" w:hanging="964"/>
        <w:rPr>
          <w:rFonts w:eastAsia="標楷體"/>
          <w:sz w:val="32"/>
          <w:szCs w:val="32"/>
        </w:rPr>
      </w:pPr>
      <w:r>
        <w:rPr>
          <w:rFonts w:eastAsia="標楷體"/>
          <w:sz w:val="32"/>
          <w:szCs w:val="32"/>
        </w:rPr>
        <w:t>第十條</w:t>
      </w:r>
      <w:r>
        <w:rPr>
          <w:rFonts w:eastAsia="標楷體"/>
          <w:sz w:val="32"/>
          <w:szCs w:val="32"/>
        </w:rPr>
        <w:t xml:space="preserve">    </w:t>
      </w:r>
      <w:r>
        <w:rPr>
          <w:rFonts w:eastAsia="標楷體"/>
          <w:sz w:val="32"/>
          <w:szCs w:val="32"/>
        </w:rPr>
        <w:t>我國個人、公司或有限合夥事業適用第三條規定，我國創作人適用第四條規定及公司員工適用第六條規定者，扣繳義務人於給付股票時，免依所得稅法第八十八條規定辦理扣繳。</w:t>
      </w:r>
    </w:p>
    <w:p w:rsidR="00A119F1" w:rsidRDefault="002E4B9C">
      <w:pPr>
        <w:pStyle w:val="Textbody"/>
        <w:ind w:left="1587" w:firstLine="624"/>
        <w:rPr>
          <w:rFonts w:eastAsia="標楷體"/>
          <w:sz w:val="32"/>
          <w:szCs w:val="32"/>
        </w:rPr>
      </w:pPr>
      <w:r>
        <w:rPr>
          <w:rFonts w:eastAsia="標楷體"/>
          <w:sz w:val="32"/>
          <w:szCs w:val="32"/>
        </w:rPr>
        <w:t>股票發行公司依本條例第十二條之一第五項規定向中央目的事業主管機關申請認定，及我國學術或研究機構依同條例第十二條之二第三項規定向科學技術基本法第六條</w:t>
      </w:r>
      <w:r>
        <w:rPr>
          <w:rFonts w:eastAsia="標楷體"/>
          <w:sz w:val="32"/>
          <w:szCs w:val="32"/>
        </w:rPr>
        <w:t>第三項所定辦法之主管機關申請認定，經該主管機關否准其申請者，</w:t>
      </w:r>
      <w:r>
        <w:rPr>
          <w:rFonts w:eastAsia="標楷體"/>
          <w:sz w:val="32"/>
          <w:szCs w:val="32"/>
          <w:lang w:eastAsia="ar-SA"/>
        </w:rPr>
        <w:t>扣繳</w:t>
      </w:r>
      <w:r>
        <w:rPr>
          <w:rFonts w:eastAsia="標楷體"/>
          <w:sz w:val="32"/>
          <w:szCs w:val="32"/>
        </w:rPr>
        <w:t>義務人應於主管機關函復申請人之日起一個月內，辦理補扣及補繳扣繳稅款並向稽徵機關申報各類所得扣繳暨免扣繳憑單。</w:t>
      </w:r>
    </w:p>
    <w:p w:rsidR="00A119F1" w:rsidRDefault="002E4B9C">
      <w:pPr>
        <w:pStyle w:val="Textbody"/>
        <w:ind w:left="1531" w:firstLine="680"/>
        <w:rPr>
          <w:rFonts w:eastAsia="標楷體"/>
          <w:sz w:val="32"/>
          <w:szCs w:val="32"/>
        </w:rPr>
      </w:pPr>
      <w:r>
        <w:rPr>
          <w:rFonts w:eastAsia="標楷體"/>
          <w:sz w:val="32"/>
          <w:szCs w:val="32"/>
        </w:rPr>
        <w:t>扣繳義務人依前項規定期限內補繳及補報者，得免加計利息並免依所得稅法第一百十一條及第一百十四條規定處罰，屆期未辦理者，應依前開所得稅法規定處罰。</w:t>
      </w:r>
    </w:p>
    <w:p w:rsidR="00A119F1" w:rsidRDefault="002E4B9C">
      <w:pPr>
        <w:pStyle w:val="Textbody"/>
        <w:ind w:left="1587" w:hanging="1247"/>
        <w:rPr>
          <w:sz w:val="32"/>
        </w:rPr>
      </w:pPr>
      <w:r>
        <w:rPr>
          <w:rFonts w:eastAsia="標楷體"/>
          <w:sz w:val="32"/>
          <w:szCs w:val="32"/>
        </w:rPr>
        <w:t>第十一條</w:t>
      </w:r>
      <w:r>
        <w:rPr>
          <w:rFonts w:eastAsia="標楷體"/>
          <w:sz w:val="32"/>
          <w:szCs w:val="32"/>
        </w:rPr>
        <w:t xml:space="preserve">    </w:t>
      </w:r>
      <w:r>
        <w:rPr>
          <w:rFonts w:eastAsia="標楷體"/>
          <w:sz w:val="32"/>
          <w:szCs w:val="32"/>
        </w:rPr>
        <w:t>股票發行公司應依本條例第六十七條之一規定，於股東轉讓、辦理帳簿劃撥之次年一月三十一日前，將上一年度已轉讓或辦理帳簿劃撥之股份資料，依規定格式向該管稽徵機關列單申報，並應於二月十</w:t>
      </w:r>
      <w:r>
        <w:rPr>
          <w:rFonts w:eastAsia="標楷體"/>
          <w:sz w:val="32"/>
          <w:szCs w:val="32"/>
        </w:rPr>
        <w:t>日前將憑單填發納稅義務</w:t>
      </w:r>
      <w:r>
        <w:rPr>
          <w:rFonts w:eastAsia="標楷體"/>
          <w:sz w:val="32"/>
          <w:szCs w:val="32"/>
        </w:rPr>
        <w:lastRenderedPageBreak/>
        <w:t>人。每年一月遇連續三日以上國定假日者，申報期間延長至二月五日止，填發期間延長至二月十五日止。</w:t>
      </w:r>
    </w:p>
    <w:p w:rsidR="00A119F1" w:rsidRDefault="002E4B9C">
      <w:pPr>
        <w:pStyle w:val="Textbody"/>
        <w:ind w:left="1587"/>
        <w:rPr>
          <w:rFonts w:eastAsia="標楷體"/>
          <w:sz w:val="32"/>
          <w:szCs w:val="32"/>
        </w:rPr>
      </w:pPr>
      <w:r>
        <w:rPr>
          <w:rFonts w:eastAsia="標楷體"/>
          <w:sz w:val="32"/>
          <w:szCs w:val="32"/>
        </w:rPr>
        <w:t xml:space="preserve">    </w:t>
      </w:r>
      <w:r>
        <w:rPr>
          <w:rFonts w:eastAsia="標楷體"/>
          <w:sz w:val="32"/>
          <w:szCs w:val="32"/>
        </w:rPr>
        <w:t>個人、公司或有限合夥事業透過證券集中交易市場或證券商營業處所出售適用本條例第十二條之一第二項、第十二條之二第一項及第十九條之一第一項規定之股票者，證券商應於股票成交次一營業日將股票轉讓日期、數量及成交價格等資料通報股票發行公司。</w:t>
      </w:r>
    </w:p>
    <w:p w:rsidR="00A119F1" w:rsidRDefault="002E4B9C">
      <w:pPr>
        <w:pStyle w:val="Textbody"/>
        <w:ind w:left="1587" w:hanging="1191"/>
        <w:rPr>
          <w:rFonts w:eastAsia="標楷體"/>
          <w:sz w:val="32"/>
          <w:szCs w:val="32"/>
        </w:rPr>
      </w:pPr>
      <w:r>
        <w:rPr>
          <w:rFonts w:eastAsia="標楷體"/>
          <w:sz w:val="32"/>
          <w:szCs w:val="32"/>
        </w:rPr>
        <w:t>第十二條</w:t>
      </w:r>
      <w:r>
        <w:rPr>
          <w:rFonts w:eastAsia="標楷體"/>
          <w:sz w:val="32"/>
          <w:szCs w:val="32"/>
        </w:rPr>
        <w:t xml:space="preserve">   </w:t>
      </w:r>
      <w:r>
        <w:rPr>
          <w:rFonts w:eastAsia="標楷體"/>
          <w:sz w:val="32"/>
          <w:szCs w:val="32"/>
        </w:rPr>
        <w:t>本辦法自中華民國一百零六年十一月二十四日施行至一百零八年十二月三十一日止。</w:t>
      </w:r>
    </w:p>
    <w:p w:rsidR="00A119F1" w:rsidRDefault="00A119F1">
      <w:pPr>
        <w:pStyle w:val="Standard"/>
        <w:rPr>
          <w:rFonts w:ascii="標楷體" w:eastAsia="標楷體" w:hAnsi="標楷體"/>
          <w:sz w:val="32"/>
          <w:szCs w:val="32"/>
        </w:rPr>
      </w:pPr>
    </w:p>
    <w:p w:rsidR="00A119F1" w:rsidRDefault="00A119F1">
      <w:pPr>
        <w:pStyle w:val="Standard"/>
      </w:pPr>
    </w:p>
    <w:p w:rsidR="00A119F1" w:rsidRDefault="00A119F1">
      <w:pPr>
        <w:pStyle w:val="Standard"/>
      </w:pPr>
    </w:p>
    <w:sectPr w:rsidR="00A119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9C" w:rsidRDefault="002E4B9C">
      <w:r>
        <w:separator/>
      </w:r>
    </w:p>
  </w:endnote>
  <w:endnote w:type="continuationSeparator" w:id="0">
    <w:p w:rsidR="002E4B9C" w:rsidRDefault="002E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9C" w:rsidRDefault="002E4B9C">
      <w:r>
        <w:rPr>
          <w:color w:val="000000"/>
        </w:rPr>
        <w:ptab w:relativeTo="margin" w:alignment="center" w:leader="none"/>
      </w:r>
    </w:p>
  </w:footnote>
  <w:footnote w:type="continuationSeparator" w:id="0">
    <w:p w:rsidR="002E4B9C" w:rsidRDefault="002E4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19F1"/>
    <w:rsid w:val="002E4B9C"/>
    <w:rsid w:val="00313C37"/>
    <w:rsid w:val="00A11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Balloon Text"/>
    <w:basedOn w:val="Textbody"/>
    <w:rPr>
      <w:rFonts w:ascii="Cambria" w:hAnsi="Cambria"/>
      <w:sz w:val="18"/>
      <w:szCs w:val="18"/>
    </w:rPr>
  </w:style>
  <w:style w:type="character" w:customStyle="1" w:styleId="a7">
    <w:name w:val="頁首 字元"/>
    <w:rPr>
      <w:sz w:val="20"/>
      <w:szCs w:val="20"/>
    </w:rPr>
  </w:style>
  <w:style w:type="character" w:customStyle="1" w:styleId="a8">
    <w:name w:val="頁尾 字元"/>
    <w:rPr>
      <w:sz w:val="20"/>
      <w:szCs w:val="20"/>
    </w:rPr>
  </w:style>
  <w:style w:type="character" w:customStyle="1" w:styleId="HTML0">
    <w:name w:val="HTML 預設格式 字元"/>
    <w:rPr>
      <w:rFonts w:ascii="細明體" w:eastAsia="細明體" w:hAnsi="細明體" w:cs="細明體"/>
      <w:kern w:val="0"/>
      <w:szCs w:val="24"/>
    </w:rPr>
  </w:style>
  <w:style w:type="character" w:styleId="a9">
    <w:name w:val="Strong"/>
    <w:rPr>
      <w:b/>
      <w:bCs/>
    </w:rPr>
  </w:style>
  <w:style w:type="character" w:styleId="aa">
    <w:name w:val="Hyperlink"/>
    <w:rPr>
      <w:color w:val="0000FF"/>
      <w:u w:val="single"/>
    </w:rPr>
  </w:style>
  <w:style w:type="character" w:customStyle="1" w:styleId="ab">
    <w:name w:val="註解方塊文字 字元"/>
    <w:rPr>
      <w:rFonts w:ascii="Cambria" w:eastAsia="新細明體" w:hAnsi="Cambria" w:cs="Times New Roman"/>
      <w:sz w:val="18"/>
      <w:szCs w:val="18"/>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Balloon Text"/>
    <w:basedOn w:val="Textbody"/>
    <w:rPr>
      <w:rFonts w:ascii="Cambria" w:hAnsi="Cambria"/>
      <w:sz w:val="18"/>
      <w:szCs w:val="18"/>
    </w:rPr>
  </w:style>
  <w:style w:type="character" w:customStyle="1" w:styleId="a7">
    <w:name w:val="頁首 字元"/>
    <w:rPr>
      <w:sz w:val="20"/>
      <w:szCs w:val="20"/>
    </w:rPr>
  </w:style>
  <w:style w:type="character" w:customStyle="1" w:styleId="a8">
    <w:name w:val="頁尾 字元"/>
    <w:rPr>
      <w:sz w:val="20"/>
      <w:szCs w:val="20"/>
    </w:rPr>
  </w:style>
  <w:style w:type="character" w:customStyle="1" w:styleId="HTML0">
    <w:name w:val="HTML 預設格式 字元"/>
    <w:rPr>
      <w:rFonts w:ascii="細明體" w:eastAsia="細明體" w:hAnsi="細明體" w:cs="細明體"/>
      <w:kern w:val="0"/>
      <w:szCs w:val="24"/>
    </w:rPr>
  </w:style>
  <w:style w:type="character" w:styleId="a9">
    <w:name w:val="Strong"/>
    <w:rPr>
      <w:b/>
      <w:bCs/>
    </w:rPr>
  </w:style>
  <w:style w:type="character" w:styleId="aa">
    <w:name w:val="Hyperlink"/>
    <w:rPr>
      <w:color w:val="0000FF"/>
      <w:u w:val="single"/>
    </w:rPr>
  </w:style>
  <w:style w:type="character" w:customStyle="1" w:styleId="ab">
    <w:name w:val="註解方塊文字 字元"/>
    <w:rPr>
      <w:rFonts w:ascii="Cambria" w:eastAsia="新細明體" w:hAnsi="Cambria" w:cs="Times New Roman"/>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05&#36001;&#29986;&#20132;&#26131;&#25152;&#24471;&#21450;&#21152;&#24375;&#26597;&#32221;/&#36039;&#26412;&#21033;&#24471;&#31237;/&#19981;&#21205;&#29986;/105&#24180;02&#26376;/&#22303;&#22320;&#37325;&#21123;/1040018967-&#20462;&#27491;&#25151;&#22320;&#21512;&#19968;&#30003;&#22577;&#35201;&#40670;final(&#28165;&#31295;&#24460;&#20840;&#2599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王俊龍</dc:creator>
  <cp:lastModifiedBy>Windows 使用者</cp:lastModifiedBy>
  <cp:revision>1</cp:revision>
  <cp:lastPrinted>2015-07-03T00:42:00Z</cp:lastPrinted>
  <dcterms:created xsi:type="dcterms:W3CDTF">2016-03-10T06:20:00Z</dcterms:created>
  <dcterms:modified xsi:type="dcterms:W3CDTF">2018-05-07T00:26:00Z</dcterms:modified>
</cp:coreProperties>
</file>